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1E" w:rsidRPr="006D4E6C" w:rsidRDefault="00AE3F1E" w:rsidP="002B54BB">
      <w:pPr>
        <w:jc w:val="right"/>
        <w:rPr>
          <w:rFonts w:asciiTheme="minorHAnsi" w:hAnsiTheme="minorHAnsi"/>
          <w:b/>
          <w:sz w:val="22"/>
          <w:szCs w:val="22"/>
        </w:rPr>
      </w:pPr>
    </w:p>
    <w:p w:rsidR="002B54BB" w:rsidRPr="006D4E6C" w:rsidRDefault="002B54BB" w:rsidP="002B54BB">
      <w:pPr>
        <w:rPr>
          <w:rFonts w:asciiTheme="minorHAnsi" w:hAnsiTheme="minorHAnsi"/>
          <w:sz w:val="22"/>
          <w:szCs w:val="22"/>
        </w:rPr>
      </w:pPr>
    </w:p>
    <w:p w:rsidR="002B54BB" w:rsidRPr="006D4E6C" w:rsidRDefault="002B54BB" w:rsidP="00AE3F1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6D4E6C">
        <w:rPr>
          <w:rFonts w:asciiTheme="minorHAnsi" w:hAnsiTheme="minorHAnsi"/>
          <w:sz w:val="22"/>
          <w:szCs w:val="22"/>
        </w:rPr>
        <w:t xml:space="preserve">Dotyczy postępowania o udzielenie zamówienia publicznego prowadzonego w trybie przetargu nieograniczonego pn.: </w:t>
      </w:r>
      <w:r w:rsidRPr="006D4E6C">
        <w:rPr>
          <w:rFonts w:asciiTheme="minorHAnsi" w:hAnsiTheme="minorHAnsi"/>
          <w:b/>
          <w:bCs/>
          <w:sz w:val="22"/>
          <w:szCs w:val="22"/>
        </w:rPr>
        <w:t>„</w:t>
      </w:r>
      <w:r w:rsidR="00811F82" w:rsidRPr="00811F82">
        <w:rPr>
          <w:rFonts w:asciiTheme="minorHAnsi" w:hAnsiTheme="minorHAnsi"/>
          <w:b/>
          <w:bCs/>
          <w:sz w:val="22"/>
          <w:szCs w:val="22"/>
        </w:rPr>
        <w:t>Rozbudowa obiektu użyteczności publicznej wraz zagospodarowaniem przestrzeni wokół budynku w miejscowości Twarda w celu urządzenia strefy rekreacyjno-wypoczynkowo-turystycznej</w:t>
      </w:r>
      <w:r w:rsidR="006D4E6C" w:rsidRPr="006D4E6C">
        <w:rPr>
          <w:rFonts w:asciiTheme="minorHAnsi" w:hAnsiTheme="minorHAnsi"/>
          <w:b/>
          <w:bCs/>
          <w:sz w:val="22"/>
          <w:szCs w:val="22"/>
        </w:rPr>
        <w:t>”</w:t>
      </w:r>
    </w:p>
    <w:p w:rsidR="002B54BB" w:rsidRPr="00A40A53" w:rsidRDefault="002B54BB" w:rsidP="002B54BB">
      <w:pPr>
        <w:tabs>
          <w:tab w:val="left" w:pos="2835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2B54BB" w:rsidRPr="006D4E6C" w:rsidRDefault="0067258F" w:rsidP="002B54B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WYJAŚNIENIE</w:t>
      </w:r>
      <w:bookmarkStart w:id="0" w:name="_GoBack"/>
      <w:bookmarkEnd w:id="0"/>
    </w:p>
    <w:p w:rsidR="002B54BB" w:rsidRPr="006D4E6C" w:rsidRDefault="002B54BB" w:rsidP="002B54BB">
      <w:pPr>
        <w:jc w:val="center"/>
        <w:rPr>
          <w:rFonts w:asciiTheme="minorHAnsi" w:hAnsiTheme="minorHAnsi"/>
          <w:b/>
          <w:sz w:val="22"/>
          <w:szCs w:val="22"/>
        </w:rPr>
      </w:pPr>
      <w:r w:rsidRPr="006D4E6C">
        <w:rPr>
          <w:rFonts w:asciiTheme="minorHAnsi" w:hAnsiTheme="minorHAnsi"/>
          <w:b/>
          <w:sz w:val="22"/>
          <w:szCs w:val="22"/>
        </w:rPr>
        <w:t xml:space="preserve">TREŚCI SPECYFIKACJI ISTOTNYCH WARUNKÓW ZAMÓWIENIA </w:t>
      </w:r>
    </w:p>
    <w:p w:rsidR="002B54BB" w:rsidRPr="008E6073" w:rsidRDefault="002B54BB" w:rsidP="002B54BB">
      <w:pPr>
        <w:rPr>
          <w:rFonts w:asciiTheme="minorHAnsi" w:hAnsiTheme="minorHAnsi"/>
          <w:sz w:val="22"/>
          <w:szCs w:val="22"/>
        </w:rPr>
      </w:pPr>
    </w:p>
    <w:p w:rsidR="00CF72BD" w:rsidRPr="008E6073" w:rsidRDefault="00CF72BD" w:rsidP="00CF72BD">
      <w:pPr>
        <w:rPr>
          <w:rFonts w:asciiTheme="minorHAnsi" w:hAnsiTheme="minorHAnsi"/>
          <w:b/>
          <w:sz w:val="22"/>
          <w:szCs w:val="22"/>
        </w:rPr>
      </w:pPr>
      <w:r w:rsidRPr="008E6073">
        <w:rPr>
          <w:rFonts w:asciiTheme="minorHAnsi" w:hAnsiTheme="minorHAnsi"/>
          <w:b/>
          <w:sz w:val="22"/>
          <w:szCs w:val="22"/>
        </w:rPr>
        <w:t>Pytanie nr 1:</w:t>
      </w:r>
    </w:p>
    <w:p w:rsidR="00CF72BD" w:rsidRPr="00811F82" w:rsidRDefault="00CF72BD" w:rsidP="00CF72BD">
      <w:pPr>
        <w:jc w:val="both"/>
        <w:rPr>
          <w:rFonts w:asciiTheme="minorHAnsi" w:hAnsiTheme="minorHAnsi"/>
          <w:sz w:val="22"/>
          <w:szCs w:val="22"/>
        </w:rPr>
      </w:pPr>
      <w:r w:rsidRPr="00811F82">
        <w:rPr>
          <w:rFonts w:asciiTheme="minorHAnsi" w:hAnsiTheme="minorHAnsi"/>
          <w:sz w:val="22"/>
          <w:szCs w:val="22"/>
        </w:rPr>
        <w:t>Pokrycie dachu - proszę o podanie rodzaju powłoki (mat lub połysk) oraz wysokości pr</w:t>
      </w:r>
      <w:r>
        <w:rPr>
          <w:rFonts w:asciiTheme="minorHAnsi" w:hAnsiTheme="minorHAnsi"/>
          <w:sz w:val="22"/>
          <w:szCs w:val="22"/>
        </w:rPr>
        <w:t xml:space="preserve">zetłoczenia dla blachodachówki </w:t>
      </w:r>
      <w:r w:rsidRPr="00811F82">
        <w:rPr>
          <w:rFonts w:asciiTheme="minorHAnsi" w:hAnsiTheme="minorHAnsi"/>
          <w:sz w:val="22"/>
          <w:szCs w:val="22"/>
        </w:rPr>
        <w:t>(35 lub 52 mm) - te dwa parametry mają decydujący wpływ na cenę blachodachówki.</w:t>
      </w:r>
    </w:p>
    <w:p w:rsidR="00CF72BD" w:rsidRPr="008E6073" w:rsidRDefault="00CF72BD" w:rsidP="00CF72BD">
      <w:pPr>
        <w:jc w:val="both"/>
        <w:rPr>
          <w:rFonts w:asciiTheme="minorHAnsi" w:hAnsiTheme="minorHAnsi"/>
          <w:sz w:val="22"/>
          <w:szCs w:val="22"/>
        </w:rPr>
      </w:pPr>
    </w:p>
    <w:p w:rsidR="00CF72BD" w:rsidRPr="008E6073" w:rsidRDefault="00CF72BD" w:rsidP="00CF72BD">
      <w:pPr>
        <w:jc w:val="both"/>
        <w:rPr>
          <w:rFonts w:asciiTheme="minorHAnsi" w:hAnsiTheme="minorHAnsi"/>
          <w:b/>
          <w:sz w:val="22"/>
          <w:szCs w:val="22"/>
        </w:rPr>
      </w:pPr>
      <w:r w:rsidRPr="008E6073">
        <w:rPr>
          <w:rFonts w:asciiTheme="minorHAnsi" w:hAnsiTheme="minorHAnsi"/>
          <w:b/>
          <w:sz w:val="22"/>
          <w:szCs w:val="22"/>
        </w:rPr>
        <w:t>Odpowiedź na pytanie nr 1:</w:t>
      </w:r>
    </w:p>
    <w:p w:rsidR="00CF72BD" w:rsidRPr="009D3BEE" w:rsidRDefault="00CF72BD" w:rsidP="00CF72BD">
      <w:pPr>
        <w:jc w:val="both"/>
        <w:rPr>
          <w:rFonts w:asciiTheme="minorHAnsi" w:hAnsiTheme="minorHAnsi"/>
          <w:b/>
          <w:sz w:val="22"/>
          <w:szCs w:val="22"/>
        </w:rPr>
      </w:pPr>
      <w:r w:rsidRPr="009D3BEE">
        <w:rPr>
          <w:rFonts w:asciiTheme="minorHAnsi" w:hAnsiTheme="minorHAnsi"/>
          <w:sz w:val="22"/>
          <w:szCs w:val="22"/>
        </w:rPr>
        <w:t>Należy przyjąć blachodachówkę z powłoką w połysku</w:t>
      </w:r>
      <w:r w:rsidR="00E55CEB">
        <w:rPr>
          <w:rFonts w:asciiTheme="minorHAnsi" w:hAnsiTheme="minorHAnsi"/>
          <w:sz w:val="22"/>
          <w:szCs w:val="22"/>
        </w:rPr>
        <w:t>. Dopuszcza się wysokości przetłoczeń</w:t>
      </w:r>
      <w:r w:rsidR="009D3BEE" w:rsidRPr="009D3BEE">
        <w:rPr>
          <w:rFonts w:asciiTheme="minorHAnsi" w:hAnsiTheme="minorHAnsi"/>
          <w:sz w:val="22"/>
          <w:szCs w:val="22"/>
        </w:rPr>
        <w:t xml:space="preserve"> 35 mm</w:t>
      </w:r>
      <w:r w:rsidR="00E55CEB">
        <w:rPr>
          <w:rFonts w:asciiTheme="minorHAnsi" w:hAnsiTheme="minorHAnsi"/>
          <w:sz w:val="22"/>
          <w:szCs w:val="22"/>
        </w:rPr>
        <w:t xml:space="preserve"> </w:t>
      </w:r>
      <w:r w:rsidR="00E55CEB">
        <w:rPr>
          <w:rFonts w:asciiTheme="minorHAnsi" w:hAnsiTheme="minorHAnsi"/>
          <w:sz w:val="22"/>
          <w:szCs w:val="22"/>
        </w:rPr>
        <w:br/>
        <w:t>i 52 mm</w:t>
      </w:r>
      <w:r w:rsidR="009D3BEE" w:rsidRPr="009D3BEE">
        <w:rPr>
          <w:rFonts w:asciiTheme="minorHAnsi" w:hAnsiTheme="minorHAnsi"/>
          <w:sz w:val="22"/>
          <w:szCs w:val="22"/>
        </w:rPr>
        <w:t>.</w:t>
      </w:r>
    </w:p>
    <w:p w:rsidR="00CF72BD" w:rsidRPr="008E6073" w:rsidRDefault="00CF72BD" w:rsidP="00CF72BD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CF72BD" w:rsidRPr="008E6073" w:rsidRDefault="00CF72BD" w:rsidP="00CF72BD">
      <w:pPr>
        <w:rPr>
          <w:rFonts w:asciiTheme="minorHAnsi" w:hAnsiTheme="minorHAnsi"/>
          <w:b/>
          <w:sz w:val="22"/>
          <w:szCs w:val="22"/>
        </w:rPr>
      </w:pPr>
      <w:r w:rsidRPr="008E6073">
        <w:rPr>
          <w:rFonts w:asciiTheme="minorHAnsi" w:hAnsiTheme="minorHAnsi"/>
          <w:b/>
          <w:sz w:val="22"/>
          <w:szCs w:val="22"/>
        </w:rPr>
        <w:t>Pytanie nr 2:</w:t>
      </w:r>
    </w:p>
    <w:p w:rsidR="00CF72BD" w:rsidRPr="00811F82" w:rsidRDefault="00CF72BD" w:rsidP="00CF72BD">
      <w:pPr>
        <w:jc w:val="both"/>
        <w:rPr>
          <w:rFonts w:asciiTheme="minorHAnsi" w:hAnsiTheme="minorHAnsi"/>
          <w:sz w:val="22"/>
          <w:szCs w:val="22"/>
        </w:rPr>
      </w:pPr>
      <w:r w:rsidRPr="00811F82">
        <w:rPr>
          <w:rFonts w:asciiTheme="minorHAnsi" w:hAnsiTheme="minorHAnsi"/>
          <w:sz w:val="22"/>
          <w:szCs w:val="22"/>
        </w:rPr>
        <w:t>Stolarka drzwiowa - jaka jest prawidłowa wysokość wewnętrznych drzwi DW2 (z</w:t>
      </w:r>
      <w:r>
        <w:rPr>
          <w:rFonts w:asciiTheme="minorHAnsi" w:hAnsiTheme="minorHAnsi"/>
          <w:sz w:val="22"/>
          <w:szCs w:val="22"/>
        </w:rPr>
        <w:t xml:space="preserve">godna z rysunkiem architektury </w:t>
      </w:r>
      <w:r w:rsidRPr="00811F82">
        <w:rPr>
          <w:rFonts w:asciiTheme="minorHAnsi" w:hAnsiTheme="minorHAnsi"/>
          <w:sz w:val="22"/>
          <w:szCs w:val="22"/>
        </w:rPr>
        <w:t>205 cm czy 235 cm jak podaje zestawienie stolarki)?</w:t>
      </w:r>
    </w:p>
    <w:p w:rsidR="00CF72BD" w:rsidRPr="008E6073" w:rsidRDefault="00CF72BD" w:rsidP="00CF72BD">
      <w:pPr>
        <w:jc w:val="both"/>
        <w:rPr>
          <w:rFonts w:asciiTheme="minorHAnsi" w:hAnsiTheme="minorHAnsi"/>
          <w:sz w:val="22"/>
          <w:szCs w:val="22"/>
        </w:rPr>
      </w:pPr>
    </w:p>
    <w:p w:rsidR="00CF72BD" w:rsidRPr="008E6073" w:rsidRDefault="00CF72BD" w:rsidP="00CF72BD">
      <w:pPr>
        <w:jc w:val="both"/>
        <w:rPr>
          <w:rFonts w:asciiTheme="minorHAnsi" w:hAnsiTheme="minorHAnsi"/>
          <w:b/>
          <w:sz w:val="22"/>
          <w:szCs w:val="22"/>
        </w:rPr>
      </w:pPr>
      <w:r w:rsidRPr="008E6073">
        <w:rPr>
          <w:rFonts w:asciiTheme="minorHAnsi" w:hAnsiTheme="minorHAnsi"/>
          <w:b/>
          <w:sz w:val="22"/>
          <w:szCs w:val="22"/>
        </w:rPr>
        <w:t>Odpowiedź na pytanie nr 2:</w:t>
      </w:r>
    </w:p>
    <w:p w:rsidR="00CF72BD" w:rsidRPr="009D3BEE" w:rsidRDefault="009D3BEE" w:rsidP="00CF72BD">
      <w:pPr>
        <w:jc w:val="both"/>
        <w:rPr>
          <w:rFonts w:asciiTheme="minorHAnsi" w:hAnsiTheme="minorHAnsi"/>
          <w:sz w:val="22"/>
          <w:szCs w:val="22"/>
        </w:rPr>
      </w:pPr>
      <w:r w:rsidRPr="009D3BEE">
        <w:rPr>
          <w:rFonts w:asciiTheme="minorHAnsi" w:hAnsiTheme="minorHAnsi"/>
          <w:sz w:val="22"/>
          <w:szCs w:val="22"/>
        </w:rPr>
        <w:t xml:space="preserve">Należy przyjąć wysokość wewnętrznych drzwi DW2 godnie z zestawieniem stolarki tj. </w:t>
      </w:r>
      <w:r w:rsidR="00CF72BD" w:rsidRPr="009D3BEE">
        <w:rPr>
          <w:rFonts w:asciiTheme="minorHAnsi" w:hAnsiTheme="minorHAnsi"/>
          <w:sz w:val="22"/>
          <w:szCs w:val="22"/>
        </w:rPr>
        <w:t>235 cm</w:t>
      </w:r>
      <w:r w:rsidRPr="009D3BEE">
        <w:rPr>
          <w:rFonts w:asciiTheme="minorHAnsi" w:hAnsiTheme="minorHAnsi"/>
          <w:sz w:val="22"/>
          <w:szCs w:val="22"/>
        </w:rPr>
        <w:t>.</w:t>
      </w:r>
    </w:p>
    <w:p w:rsidR="000413C2" w:rsidRPr="008E6073" w:rsidRDefault="000413C2" w:rsidP="000413C2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5967B3" w:rsidRPr="005967B3" w:rsidRDefault="005967B3" w:rsidP="005967B3">
      <w:pPr>
        <w:spacing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3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Na rysunku K-04 rzut więźby dachowej w pkt 1 jest napisane: </w:t>
      </w:r>
      <w:r w:rsidRPr="005967B3">
        <w:rPr>
          <w:rFonts w:ascii="Calibri" w:eastAsia="Calibri" w:hAnsi="Calibri"/>
          <w:i/>
          <w:sz w:val="22"/>
          <w:szCs w:val="22"/>
          <w:lang w:eastAsia="en-US"/>
        </w:rPr>
        <w:t xml:space="preserve">„Konstrukcję dachu wykonać z drewna sosnowego/świerkowego klasy C30” </w:t>
      </w:r>
      <w:r w:rsidRPr="005967B3">
        <w:rPr>
          <w:rFonts w:ascii="Calibri" w:eastAsia="Calibri" w:hAnsi="Calibri"/>
          <w:sz w:val="22"/>
          <w:szCs w:val="22"/>
          <w:lang w:eastAsia="en-US"/>
        </w:rPr>
        <w:t>– ta klasa drewna nie występuje, czy Inwestor wyraża zgodę na zastosowanie drewna konstrukcyjnego C24?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5967B3">
        <w:rPr>
          <w:rFonts w:ascii="Calibri" w:eastAsia="Calibri" w:hAnsi="Calibri"/>
          <w:sz w:val="22"/>
          <w:szCs w:val="22"/>
          <w:u w:val="single"/>
          <w:lang w:eastAsia="en-US"/>
        </w:rPr>
        <w:t>Otrzymana informacja z tartaku: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5967B3">
        <w:rPr>
          <w:rFonts w:ascii="Calibri" w:eastAsia="Calibri" w:hAnsi="Calibri"/>
          <w:i/>
          <w:sz w:val="22"/>
          <w:szCs w:val="22"/>
          <w:lang w:eastAsia="en-US"/>
        </w:rPr>
        <w:t>„Norma PN-EN 03I50 jest normą archiwalną. Aktualnie norma dotycząca drewna konstrukcyjnego (EN 14081-1:2005+A1:2011) odwołuje się do Eurokodu 5 (PN-EN 01995-5-5), który w załączniku krajowym podaje inną tabelę zależności klasa sortownicza – klasa wytrzymałości. Przykładowo dla sosny jest C20-C24-C35. Tartak określa klasy sortownicze wg PN-D-94021:2013-10P (według takich samych zasad dla normy krajowej i dla Eurokodu 5). Klasy wytrzymałości i inne rzeczywiste dane pomiarowe na podstawie których je określono zawiera norma PN-EN 338. Po wejściu w życie CPR (01.07.2013 r.) należy stosować normy zharmonizowane, czyli Eurokodu 5.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3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Zamawiający dopuszcza zastosowania drewna konstrukcyjnego C24 – zgodnie z obowiązującymi normami.</w:t>
      </w:r>
    </w:p>
    <w:p w:rsidR="005967B3" w:rsidRPr="005967B3" w:rsidRDefault="005967B3" w:rsidP="005967B3">
      <w:pPr>
        <w:spacing w:line="256" w:lineRule="auto"/>
        <w:ind w:left="36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4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Konstrukcja dachu, na żadnym przekroju nie wrysowano podbitki dachowej – czy ma być wykonana, a jeśli tak – z jakiego materiału 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4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Podbitka ma być wykonana – perforowana z PCV i jest ujęta w przedmiarze robót budowlanych załącznik nr 10 SIWZ (poz. 129 i 130 przedmiaru).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5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Wieniec żelbetowy – czy po rozbiórce dachu należy wykonać wieniec żelbetowy na istniejących ścianach gr. 44 cm, aby wyrównać poziom części istniejącej i rozbudowywanej?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5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Należy dostosować wysokość obydwóch budynków oraz wykonać wieniec żelbetowy na ścianach konstrukcyjnych istniejącego i projektowanego budynku. Przekrój i zbrojenie wieńca jak dla części projektowanej budynku. Koszty wykonania tych prac należy uwzględnić w robotach ujętych </w:t>
      </w:r>
      <w:r>
        <w:rPr>
          <w:rFonts w:ascii="Calibri" w:eastAsia="Calibri" w:hAnsi="Calibri"/>
          <w:sz w:val="22"/>
          <w:szCs w:val="22"/>
          <w:lang w:eastAsia="en-US"/>
        </w:rPr>
        <w:br/>
        <w:t>w</w:t>
      </w: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 dziale V „Konstrukcje żelbetowe i stalowe” i w cenie składanej oferty.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967B3">
        <w:rPr>
          <w:rFonts w:ascii="Calibri" w:eastAsia="Calibri" w:hAnsi="Calibri"/>
          <w:b/>
          <w:sz w:val="22"/>
          <w:szCs w:val="22"/>
          <w:lang w:eastAsia="en-US"/>
        </w:rPr>
        <w:t>Pytanie nr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6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Ocieplenie stropu – jaka ma być grubość wełny mineralnej stanowiącej izolację termiczną realizowanego i istniejącego stropu (na przekroju widnieje grubość 14 cm, natomiast w opisie – 20 cm)?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6</w:t>
      </w:r>
      <w:r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Grubość ocieplenia stropu wełną mineralną twardą o grubości 20 cm jak w opisie technicznym </w:t>
      </w:r>
      <w:r w:rsidRPr="005967B3">
        <w:rPr>
          <w:rFonts w:ascii="Calibri" w:eastAsia="Calibri" w:hAnsi="Calibri"/>
          <w:sz w:val="22"/>
          <w:szCs w:val="22"/>
          <w:lang w:eastAsia="en-US"/>
        </w:rPr>
        <w:br/>
        <w:t xml:space="preserve">– dotyczy części istniejącej i projektowanej. Dodatkową pozycję dodaje się w przedmiarze robót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w dziale IX „Elewacje”, którą należy wycenić w składanej ofercie. Zaktualizowany przedmiar robót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5967B3">
        <w:rPr>
          <w:rFonts w:ascii="Calibri" w:eastAsia="Calibri" w:hAnsi="Calibri"/>
          <w:sz w:val="22"/>
          <w:szCs w:val="22"/>
          <w:lang w:eastAsia="en-US"/>
        </w:rPr>
        <w:t>w załączeniu.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7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Kominy – czy nowoprojektowany komin oraz pozostałe kominy na istniejącej części budynku mają być ocieplone wełną mineralną z wyprawą tynkarską?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7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Wszystkie kominy mają być ocieplone wełną mineralną z wyprawą tynkarską. Koszty wykonania tych prac należy uwzględnić w robotach ujętych w dziale IX „Elewacje” i w cenie składanej oferty.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8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Wyprawa elewacyjna – jaki rodzaj tynku cienkowarstwowego przyjęto do wykonania wyprawy elewacyjnej?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8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Tynk sylikatowo-sylikonowy gr. ziarna 1.5 mm - baranek (przedmiar robót poz. 125 i 126). Wprowadzono zmianę rodzaju tynku do przedmiaru robót. Zaktualizowany przedmiar robót </w:t>
      </w:r>
      <w:r w:rsidR="0067258F">
        <w:rPr>
          <w:rFonts w:ascii="Calibri" w:eastAsia="Calibri" w:hAnsi="Calibri"/>
          <w:sz w:val="22"/>
          <w:szCs w:val="22"/>
          <w:lang w:eastAsia="en-US"/>
        </w:rPr>
        <w:br/>
      </w:r>
      <w:r w:rsidRPr="005967B3">
        <w:rPr>
          <w:rFonts w:ascii="Calibri" w:eastAsia="Calibri" w:hAnsi="Calibri"/>
          <w:sz w:val="22"/>
          <w:szCs w:val="22"/>
          <w:lang w:eastAsia="en-US"/>
        </w:rPr>
        <w:t>w załączeniu.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9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>Punkt osnowy geodezyjnej – czy załatwiona została sprawa przeniesienia lub likwidacji punktu osnowy geodezyjnej ze ściany budynku 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9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Punkt osnowy geodezyjnej jest do likwidacji lub przeniesienia zgodnie z informacją w decyzji </w:t>
      </w:r>
      <w:r w:rsidRPr="005967B3">
        <w:rPr>
          <w:rFonts w:ascii="Calibri" w:eastAsia="Calibri" w:hAnsi="Calibri"/>
          <w:sz w:val="22"/>
          <w:szCs w:val="22"/>
          <w:lang w:eastAsia="en-US"/>
        </w:rPr>
        <w:br/>
        <w:t xml:space="preserve">Nr 109/2016 o pozwoleniu na budowę, wydaną przez Starostę Tomaszowskiego. Ostateczną decyzję o likwidacji bądź przeniesieniu punktu osnowy geodezyjnej podejmie właściwy Wydział Geodezji na podstawie wniosku Wykonawcy robót. Koszt likwidacji lub przeniesienia punktu należy uwzględnić </w:t>
      </w:r>
      <w:r w:rsidRPr="005967B3">
        <w:rPr>
          <w:rFonts w:ascii="Calibri" w:eastAsia="Calibri" w:hAnsi="Calibri"/>
          <w:sz w:val="22"/>
          <w:szCs w:val="22"/>
          <w:lang w:eastAsia="en-US"/>
        </w:rPr>
        <w:br/>
        <w:t xml:space="preserve">w cenie oferty, składanej przez  Wykonawcę robót. </w:t>
      </w:r>
    </w:p>
    <w:p w:rsidR="0067258F" w:rsidRPr="005967B3" w:rsidRDefault="0067258F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Pytanie nr 10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Zagospodarowanie terenu – program funkcjonalno użytkowy (str. 40 i 43) zawiera zapis „wykonawca poda w terminie składania oferty nazwy producentów zasadniczych materiałów, surowców </w:t>
      </w:r>
      <w:r w:rsidRPr="005967B3">
        <w:rPr>
          <w:rFonts w:ascii="Calibri" w:eastAsia="Calibri" w:hAnsi="Calibri"/>
          <w:sz w:val="22"/>
          <w:szCs w:val="22"/>
          <w:lang w:eastAsia="en-US"/>
        </w:rPr>
        <w:br/>
        <w:t>i urządzeń’. Skoro obowiązkiem wykonawcy jest opracowanie dokumentacji projektowej na podstawie PFU, które może wprowadzić zmiany – czy zapis ten nie powinien być wykreślony?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967B3" w:rsidRPr="005967B3" w:rsidRDefault="0067258F" w:rsidP="005967B3">
      <w:p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Odpowiedź na pytanie nr 10</w:t>
      </w:r>
      <w:r w:rsidR="005967B3" w:rsidRPr="005967B3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Zapis ujęty w Programie Funkcjonalno Użytkowym  o treści  </w:t>
      </w:r>
      <w:r w:rsidRPr="005967B3">
        <w:rPr>
          <w:rFonts w:ascii="Calibri" w:eastAsia="Calibri" w:hAnsi="Calibri"/>
          <w:i/>
          <w:sz w:val="22"/>
          <w:szCs w:val="22"/>
          <w:lang w:eastAsia="en-US"/>
        </w:rPr>
        <w:t xml:space="preserve">„Wykonawca poda w terminie składania oferty nazwy producentów zasadniczych materiałów, surowców i urządzeń, które zamierza zakupić dla wykonania zamówienia. Pochodzenie tych dostaw musi być zgodne z warunkami w SIWZ”, </w:t>
      </w: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zawiera się w dziale IV.2. pod nazwą </w:t>
      </w:r>
      <w:r w:rsidRPr="005967B3">
        <w:rPr>
          <w:rFonts w:ascii="Calibri" w:eastAsia="Calibri" w:hAnsi="Calibri"/>
          <w:i/>
          <w:sz w:val="22"/>
          <w:szCs w:val="22"/>
          <w:lang w:eastAsia="en-US"/>
        </w:rPr>
        <w:t>„Warunki wykonania i odbioru robót budowlanych”</w:t>
      </w:r>
      <w:r w:rsidRPr="005967B3">
        <w:rPr>
          <w:rFonts w:ascii="Calibri" w:eastAsia="Calibri" w:hAnsi="Calibri"/>
          <w:sz w:val="22"/>
          <w:szCs w:val="22"/>
          <w:lang w:eastAsia="en-US"/>
        </w:rPr>
        <w:t xml:space="preserve">, i dotyczy wymagań na etapie realizacji inwestycji w zakresie uzgadniania wbudowanych materiałów. </w:t>
      </w:r>
      <w:r w:rsidRPr="005967B3">
        <w:rPr>
          <w:rFonts w:ascii="Calibri" w:eastAsia="Calibri" w:hAnsi="Calibri"/>
          <w:sz w:val="22"/>
          <w:szCs w:val="22"/>
          <w:lang w:eastAsia="en-US"/>
        </w:rPr>
        <w:br/>
        <w:t>W Programie Funkcjonalno Użytkowym jest omyłka pisarska, zamiast wyrażenia „w terminie składania ofert” winno być „</w:t>
      </w:r>
      <w:r w:rsidRPr="005967B3">
        <w:rPr>
          <w:rFonts w:ascii="Calibri" w:eastAsia="Calibri" w:hAnsi="Calibri"/>
          <w:i/>
          <w:sz w:val="22"/>
          <w:szCs w:val="22"/>
          <w:lang w:eastAsia="en-US"/>
        </w:rPr>
        <w:t>na etapie realizacji inwestycji, przed wbudowaniem  Wykonawca poda nazwy producentów zasadniczych materiałów, surowców i urządzeń, które zamierza zakupić dla wykonania zamówienia. Pochodzenie tych dostaw musi być zgodne z warunkami w SIWZ”.</w:t>
      </w:r>
    </w:p>
    <w:p w:rsidR="005967B3" w:rsidRPr="005967B3" w:rsidRDefault="005967B3" w:rsidP="005967B3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4797" w:rsidRDefault="00A64797" w:rsidP="00A64797">
      <w:pPr>
        <w:jc w:val="both"/>
        <w:rPr>
          <w:rFonts w:asciiTheme="minorHAnsi" w:hAnsiTheme="minorHAnsi"/>
          <w:sz w:val="22"/>
          <w:szCs w:val="22"/>
        </w:rPr>
      </w:pPr>
    </w:p>
    <w:p w:rsidR="00200B6B" w:rsidRPr="00280C75" w:rsidRDefault="00200B6B" w:rsidP="00280C75">
      <w:pPr>
        <w:jc w:val="both"/>
        <w:rPr>
          <w:rFonts w:asciiTheme="minorHAnsi" w:hAnsiTheme="minorHAnsi"/>
          <w:sz w:val="22"/>
          <w:szCs w:val="22"/>
        </w:rPr>
      </w:pPr>
    </w:p>
    <w:sectPr w:rsidR="00200B6B" w:rsidRPr="00280C75" w:rsidSect="00D80CAB">
      <w:headerReference w:type="even" r:id="rId8"/>
      <w:headerReference w:type="firs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F8" w:rsidRDefault="009D70F8" w:rsidP="008F1B07">
      <w:r>
        <w:separator/>
      </w:r>
    </w:p>
  </w:endnote>
  <w:endnote w:type="continuationSeparator" w:id="0">
    <w:p w:rsidR="009D70F8" w:rsidRDefault="009D70F8" w:rsidP="008F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F8" w:rsidRDefault="009D70F8" w:rsidP="008F1B07">
      <w:r>
        <w:separator/>
      </w:r>
    </w:p>
  </w:footnote>
  <w:footnote w:type="continuationSeparator" w:id="0">
    <w:p w:rsidR="009D70F8" w:rsidRDefault="009D70F8" w:rsidP="008F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8" w:rsidRDefault="0067258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#eaeaea" stroked="f">
          <v:textpath style="font-family:&quot;Westwood LET&quot;;font-size:1pt" string="WarB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8" w:rsidRDefault="0067258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#eaeaea" stroked="f">
          <v:textpath style="font-family:&quot;Westwood LET&quot;;font-size:1pt" string="WarB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06E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42A"/>
    <w:multiLevelType w:val="hybridMultilevel"/>
    <w:tmpl w:val="D452D8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D36CA2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64"/>
    <w:multiLevelType w:val="hybridMultilevel"/>
    <w:tmpl w:val="3A2C07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D1A19"/>
    <w:multiLevelType w:val="hybridMultilevel"/>
    <w:tmpl w:val="02DC0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4E04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205D6"/>
    <w:multiLevelType w:val="hybridMultilevel"/>
    <w:tmpl w:val="B280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43"/>
    <w:rsid w:val="0000750A"/>
    <w:rsid w:val="000413C2"/>
    <w:rsid w:val="0006328E"/>
    <w:rsid w:val="00072B2D"/>
    <w:rsid w:val="000A0E11"/>
    <w:rsid w:val="000C0CC0"/>
    <w:rsid w:val="001B3531"/>
    <w:rsid w:val="001B509B"/>
    <w:rsid w:val="001C06B7"/>
    <w:rsid w:val="001C6147"/>
    <w:rsid w:val="001F2DB4"/>
    <w:rsid w:val="00200B6B"/>
    <w:rsid w:val="00204701"/>
    <w:rsid w:val="00230A9D"/>
    <w:rsid w:val="00280C75"/>
    <w:rsid w:val="0028310F"/>
    <w:rsid w:val="00290D7F"/>
    <w:rsid w:val="002B54BB"/>
    <w:rsid w:val="002C38F6"/>
    <w:rsid w:val="002D2185"/>
    <w:rsid w:val="002F3545"/>
    <w:rsid w:val="002F5203"/>
    <w:rsid w:val="0033269E"/>
    <w:rsid w:val="003348B0"/>
    <w:rsid w:val="003948A2"/>
    <w:rsid w:val="00395DF8"/>
    <w:rsid w:val="003C6AC2"/>
    <w:rsid w:val="003D7F2D"/>
    <w:rsid w:val="003F59B2"/>
    <w:rsid w:val="0043015E"/>
    <w:rsid w:val="00443A2F"/>
    <w:rsid w:val="00473340"/>
    <w:rsid w:val="00497895"/>
    <w:rsid w:val="004B3BC0"/>
    <w:rsid w:val="004E1E8D"/>
    <w:rsid w:val="005027EA"/>
    <w:rsid w:val="0058508E"/>
    <w:rsid w:val="005967B3"/>
    <w:rsid w:val="005D263E"/>
    <w:rsid w:val="005E1EF9"/>
    <w:rsid w:val="006013DF"/>
    <w:rsid w:val="00623ED4"/>
    <w:rsid w:val="0063226B"/>
    <w:rsid w:val="006607DC"/>
    <w:rsid w:val="0067258F"/>
    <w:rsid w:val="006757CD"/>
    <w:rsid w:val="0067725F"/>
    <w:rsid w:val="00677DA8"/>
    <w:rsid w:val="00694029"/>
    <w:rsid w:val="006B5AE5"/>
    <w:rsid w:val="006C19E5"/>
    <w:rsid w:val="006D4E6C"/>
    <w:rsid w:val="00710A46"/>
    <w:rsid w:val="00762F4C"/>
    <w:rsid w:val="00777ABA"/>
    <w:rsid w:val="00786A2F"/>
    <w:rsid w:val="007C2F66"/>
    <w:rsid w:val="00811F82"/>
    <w:rsid w:val="00845DCE"/>
    <w:rsid w:val="0088610A"/>
    <w:rsid w:val="00887AAF"/>
    <w:rsid w:val="008A6797"/>
    <w:rsid w:val="008B68C3"/>
    <w:rsid w:val="008E6073"/>
    <w:rsid w:val="008F1B07"/>
    <w:rsid w:val="008F2FAB"/>
    <w:rsid w:val="00903882"/>
    <w:rsid w:val="00922684"/>
    <w:rsid w:val="009339B2"/>
    <w:rsid w:val="009D3BEE"/>
    <w:rsid w:val="009D5131"/>
    <w:rsid w:val="009D70F8"/>
    <w:rsid w:val="00A072AE"/>
    <w:rsid w:val="00A40A53"/>
    <w:rsid w:val="00A54353"/>
    <w:rsid w:val="00A64797"/>
    <w:rsid w:val="00AC466B"/>
    <w:rsid w:val="00AE322B"/>
    <w:rsid w:val="00AE3271"/>
    <w:rsid w:val="00AE3F1E"/>
    <w:rsid w:val="00AF7CDC"/>
    <w:rsid w:val="00B07E6D"/>
    <w:rsid w:val="00B379CD"/>
    <w:rsid w:val="00B65A37"/>
    <w:rsid w:val="00B73F10"/>
    <w:rsid w:val="00B75158"/>
    <w:rsid w:val="00B953AC"/>
    <w:rsid w:val="00C02303"/>
    <w:rsid w:val="00C12D3F"/>
    <w:rsid w:val="00C17E5E"/>
    <w:rsid w:val="00C8181F"/>
    <w:rsid w:val="00CA1543"/>
    <w:rsid w:val="00CA1840"/>
    <w:rsid w:val="00CD6CF5"/>
    <w:rsid w:val="00CF72BD"/>
    <w:rsid w:val="00D36060"/>
    <w:rsid w:val="00D419D8"/>
    <w:rsid w:val="00D438B7"/>
    <w:rsid w:val="00D80CAB"/>
    <w:rsid w:val="00D97D6D"/>
    <w:rsid w:val="00DB4841"/>
    <w:rsid w:val="00DC5BC5"/>
    <w:rsid w:val="00DD47F6"/>
    <w:rsid w:val="00E31799"/>
    <w:rsid w:val="00E55CEB"/>
    <w:rsid w:val="00E63675"/>
    <w:rsid w:val="00EC3550"/>
    <w:rsid w:val="00EC585C"/>
    <w:rsid w:val="00EE21F1"/>
    <w:rsid w:val="00EE321A"/>
    <w:rsid w:val="00F05299"/>
    <w:rsid w:val="00F24D1D"/>
    <w:rsid w:val="00F25AA9"/>
    <w:rsid w:val="00F3409E"/>
    <w:rsid w:val="00F65762"/>
    <w:rsid w:val="00FD2C4C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3986AB4-0FDF-4E45-BC5C-E995A55B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F1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1B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F1B07"/>
    <w:rPr>
      <w:color w:val="0000FF"/>
      <w:u w:val="single"/>
    </w:rPr>
  </w:style>
  <w:style w:type="character" w:styleId="Numerstrony">
    <w:name w:val="page number"/>
    <w:basedOn w:val="Domylnaczcionkaakapitu"/>
    <w:rsid w:val="008F1B07"/>
  </w:style>
  <w:style w:type="paragraph" w:styleId="Akapitzlist">
    <w:name w:val="List Paragraph"/>
    <w:basedOn w:val="Normalny"/>
    <w:uiPriority w:val="34"/>
    <w:qFormat/>
    <w:rsid w:val="00EE32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32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1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06328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A54353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1F8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11F82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369B-D6FC-4543-A08A-2A409127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2</cp:revision>
  <cp:lastPrinted>2018-02-07T11:20:00Z</cp:lastPrinted>
  <dcterms:created xsi:type="dcterms:W3CDTF">2018-03-16T10:06:00Z</dcterms:created>
  <dcterms:modified xsi:type="dcterms:W3CDTF">2018-03-16T10:06:00Z</dcterms:modified>
</cp:coreProperties>
</file>